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85D" w:rsidRDefault="00436E30" w:rsidP="003B1219">
      <w:pPr>
        <w:spacing w:after="0" w:line="240" w:lineRule="auto"/>
        <w:jc w:val="right"/>
        <w:rPr>
          <w:rFonts w:ascii="Trajan Pro" w:hAnsi="Trajan Pro"/>
          <w:b/>
          <w:iCs/>
          <w:color w:val="365F91"/>
          <w:sz w:val="36"/>
          <w:szCs w:val="36"/>
          <w:lang w:val="en-CA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-381000</wp:posOffset>
            </wp:positionH>
            <wp:positionV relativeFrom="margin">
              <wp:posOffset>-123825</wp:posOffset>
            </wp:positionV>
            <wp:extent cx="1971675" cy="962025"/>
            <wp:effectExtent l="19050" t="0" r="9525" b="0"/>
            <wp:wrapSquare wrapText="bothSides"/>
            <wp:docPr id="2" name="Picture 1" descr="AMCLogosmalle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CLogosmaller.t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285D" w:rsidRDefault="003E285D" w:rsidP="00DF6E33">
      <w:pPr>
        <w:spacing w:line="240" w:lineRule="auto"/>
        <w:ind w:left="4320" w:firstLine="720"/>
        <w:jc w:val="center"/>
        <w:rPr>
          <w:rFonts w:ascii="Tahoma" w:hAnsi="Tahoma" w:cs="Tahoma"/>
          <w:iCs/>
          <w:sz w:val="40"/>
          <w:szCs w:val="40"/>
          <w:lang w:val="en-CA"/>
        </w:rPr>
      </w:pPr>
    </w:p>
    <w:p w:rsidR="00C91074" w:rsidRDefault="00C91074" w:rsidP="00B234ED">
      <w:pPr>
        <w:spacing w:line="240" w:lineRule="auto"/>
        <w:jc w:val="center"/>
        <w:rPr>
          <w:rFonts w:ascii="Tahoma" w:hAnsi="Tahoma" w:cs="Tahoma"/>
          <w:iCs/>
          <w:sz w:val="40"/>
          <w:szCs w:val="40"/>
          <w:lang w:val="en-CA"/>
        </w:rPr>
      </w:pPr>
    </w:p>
    <w:p w:rsidR="00496072" w:rsidRDefault="00496072" w:rsidP="00496072">
      <w:pPr>
        <w:jc w:val="both"/>
        <w:rPr>
          <w:rFonts w:ascii="Arial Narrow" w:hAnsi="Arial Narrow"/>
          <w:b/>
          <w:bCs/>
          <w:sz w:val="28"/>
          <w:szCs w:val="28"/>
          <w:lang w:val="en-US"/>
        </w:rPr>
      </w:pPr>
      <w:r>
        <w:rPr>
          <w:rFonts w:ascii="Arial Narrow" w:hAnsi="Arial Narrow"/>
          <w:b/>
          <w:bCs/>
          <w:sz w:val="28"/>
          <w:szCs w:val="28"/>
        </w:rPr>
        <w:t xml:space="preserve">A Study </w:t>
      </w:r>
      <w:proofErr w:type="gramStart"/>
      <w:r>
        <w:rPr>
          <w:rFonts w:ascii="Arial Narrow" w:hAnsi="Arial Narrow"/>
          <w:b/>
          <w:bCs/>
          <w:sz w:val="28"/>
          <w:szCs w:val="28"/>
        </w:rPr>
        <w:t>On</w:t>
      </w:r>
      <w:proofErr w:type="gramEnd"/>
      <w:r>
        <w:rPr>
          <w:rFonts w:ascii="Arial Narrow" w:hAnsi="Arial Narrow"/>
          <w:b/>
          <w:bCs/>
          <w:sz w:val="28"/>
          <w:szCs w:val="28"/>
        </w:rPr>
        <w:t xml:space="preserve"> Immigrant Women in Managerial Position</w:t>
      </w:r>
    </w:p>
    <w:p w:rsidR="00496072" w:rsidRDefault="00496072" w:rsidP="00496072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This seminar discusses the careers of immigrant women in managerial positions, in workplaces where policies ensuring equality of access are implemented. </w:t>
      </w:r>
      <w:r w:rsidRPr="00496072">
        <w:rPr>
          <w:rFonts w:ascii="Arial Narrow" w:hAnsi="Arial Narrow"/>
          <w:sz w:val="24"/>
          <w:szCs w:val="24"/>
          <w:lang w:val="en-US"/>
        </w:rPr>
        <w:t xml:space="preserve">Considering that these women are double minorities </w:t>
      </w:r>
      <w:r w:rsidRPr="00496072">
        <w:rPr>
          <w:sz w:val="24"/>
          <w:szCs w:val="24"/>
          <w:lang w:val="en-US"/>
        </w:rPr>
        <w:t>–</w:t>
      </w:r>
      <w:r w:rsidRPr="00496072">
        <w:rPr>
          <w:rFonts w:ascii="Arial Narrow" w:hAnsi="Arial Narrow"/>
          <w:sz w:val="24"/>
          <w:szCs w:val="24"/>
          <w:lang w:val="en-US"/>
        </w:rPr>
        <w:t xml:space="preserve">as women and as immigrants- we will consider the strategies they have used in furthering their careers, and whether they have been subject to (perceived) discrimination. Is their status as double-minority and the potential stigma associated with it an obstacle to the achievement of professional recognition, or does it in fact enhance their empowerment in their profession?  Do equality-access policies succeed in helping them reach their professional objectives? How do the immigrant women perceive these policies and their effectiveness on their career? </w:t>
      </w:r>
      <w:r>
        <w:rPr>
          <w:rFonts w:ascii="Arial Narrow" w:hAnsi="Arial Narrow"/>
          <w:sz w:val="24"/>
          <w:szCs w:val="24"/>
        </w:rPr>
        <w:t>The intersections between gender, employment and public policies will be covered through analyzing the discourses of immigrant women on their work experience.</w:t>
      </w:r>
    </w:p>
    <w:p w:rsidR="00496072" w:rsidRDefault="00496072" w:rsidP="00496072">
      <w:pPr>
        <w:jc w:val="both"/>
        <w:rPr>
          <w:rFonts w:ascii="Arial Narrow" w:hAnsi="Arial Narrow"/>
          <w:b/>
          <w:bCs/>
          <w:sz w:val="28"/>
          <w:szCs w:val="28"/>
          <w:lang w:val="fr-CA"/>
        </w:rPr>
      </w:pPr>
      <w:r>
        <w:rPr>
          <w:rFonts w:ascii="Arial Narrow" w:hAnsi="Arial Narrow"/>
          <w:b/>
          <w:bCs/>
          <w:sz w:val="28"/>
          <w:szCs w:val="28"/>
          <w:lang w:val="fr-CA"/>
        </w:rPr>
        <w:t xml:space="preserve">Une </w:t>
      </w:r>
      <w:r>
        <w:rPr>
          <w:b/>
          <w:bCs/>
          <w:sz w:val="28"/>
          <w:szCs w:val="28"/>
          <w:lang w:val="fr-CA"/>
        </w:rPr>
        <w:t>é</w:t>
      </w:r>
      <w:r>
        <w:rPr>
          <w:rFonts w:ascii="Arial Narrow" w:hAnsi="Arial Narrow"/>
          <w:b/>
          <w:bCs/>
          <w:sz w:val="28"/>
          <w:szCs w:val="28"/>
          <w:lang w:val="fr-CA"/>
        </w:rPr>
        <w:t>tude sur les Femmes cadres  gestionnaires </w:t>
      </w:r>
      <w:r>
        <w:rPr>
          <w:rFonts w:ascii="Arial Narrow" w:hAnsi="Arial Narrow"/>
          <w:b/>
          <w:bCs/>
          <w:color w:val="1F497D"/>
          <w:sz w:val="28"/>
          <w:szCs w:val="28"/>
          <w:lang w:val="fr-CA"/>
        </w:rPr>
        <w:t xml:space="preserve">et </w:t>
      </w:r>
      <w:r>
        <w:rPr>
          <w:rFonts w:ascii="Arial Narrow" w:hAnsi="Arial Narrow"/>
          <w:b/>
          <w:bCs/>
          <w:sz w:val="28"/>
          <w:szCs w:val="28"/>
          <w:lang w:val="fr-CA"/>
        </w:rPr>
        <w:t> issues de l</w:t>
      </w:r>
      <w:r>
        <w:rPr>
          <w:b/>
          <w:bCs/>
          <w:sz w:val="28"/>
          <w:szCs w:val="28"/>
          <w:lang w:val="fr-CA"/>
        </w:rPr>
        <w:t>’</w:t>
      </w:r>
      <w:r>
        <w:rPr>
          <w:rFonts w:ascii="Arial Narrow" w:hAnsi="Arial Narrow"/>
          <w:b/>
          <w:bCs/>
          <w:sz w:val="28"/>
          <w:szCs w:val="28"/>
          <w:lang w:val="fr-CA"/>
        </w:rPr>
        <w:t>immigration: repr</w:t>
      </w:r>
      <w:r>
        <w:rPr>
          <w:b/>
          <w:bCs/>
          <w:sz w:val="28"/>
          <w:szCs w:val="28"/>
          <w:lang w:val="fr-CA"/>
        </w:rPr>
        <w:t>é</w:t>
      </w:r>
      <w:r>
        <w:rPr>
          <w:rFonts w:ascii="Arial Narrow" w:hAnsi="Arial Narrow"/>
          <w:b/>
          <w:bCs/>
          <w:sz w:val="28"/>
          <w:szCs w:val="28"/>
          <w:lang w:val="fr-CA"/>
        </w:rPr>
        <w:t>sentations des trajectoires professionnelles et strat</w:t>
      </w:r>
      <w:r>
        <w:rPr>
          <w:b/>
          <w:bCs/>
          <w:sz w:val="28"/>
          <w:szCs w:val="28"/>
          <w:lang w:val="fr-CA"/>
        </w:rPr>
        <w:t>é</w:t>
      </w:r>
      <w:r>
        <w:rPr>
          <w:rFonts w:ascii="Arial Narrow" w:hAnsi="Arial Narrow"/>
          <w:b/>
          <w:bCs/>
          <w:sz w:val="28"/>
          <w:szCs w:val="28"/>
          <w:lang w:val="fr-CA"/>
        </w:rPr>
        <w:t>gies.</w:t>
      </w:r>
    </w:p>
    <w:p w:rsidR="00496072" w:rsidRDefault="00496072" w:rsidP="00496072">
      <w:pPr>
        <w:jc w:val="both"/>
        <w:rPr>
          <w:rFonts w:ascii="Arial Narrow" w:hAnsi="Arial Narrow"/>
          <w:sz w:val="24"/>
          <w:szCs w:val="24"/>
          <w:lang w:val="fr-CA"/>
        </w:rPr>
      </w:pPr>
      <w:r>
        <w:rPr>
          <w:rFonts w:ascii="Arial Narrow" w:hAnsi="Arial Narrow"/>
          <w:sz w:val="24"/>
          <w:szCs w:val="24"/>
          <w:lang w:val="fr-CA"/>
        </w:rPr>
        <w:t>Dans cette communication, nous nous centrerons sur la situation des femmes gestionnaires issues de l</w:t>
      </w:r>
      <w:r>
        <w:rPr>
          <w:sz w:val="24"/>
          <w:szCs w:val="24"/>
          <w:lang w:val="fr-CA"/>
        </w:rPr>
        <w:t>’</w:t>
      </w:r>
      <w:r>
        <w:rPr>
          <w:rFonts w:ascii="Arial Narrow" w:hAnsi="Arial Narrow"/>
          <w:sz w:val="24"/>
          <w:szCs w:val="24"/>
          <w:lang w:val="fr-CA"/>
        </w:rPr>
        <w:t>immigration qui gravitent dans des milieux organisationnels assujettis aux lois d</w:t>
      </w:r>
      <w:r>
        <w:rPr>
          <w:sz w:val="24"/>
          <w:szCs w:val="24"/>
          <w:lang w:val="fr-CA"/>
        </w:rPr>
        <w:t>’</w:t>
      </w:r>
      <w:r>
        <w:rPr>
          <w:rFonts w:ascii="Arial Narrow" w:hAnsi="Arial Narrow"/>
          <w:sz w:val="24"/>
          <w:szCs w:val="24"/>
          <w:lang w:val="fr-CA"/>
        </w:rPr>
        <w:t>acc</w:t>
      </w:r>
      <w:r>
        <w:rPr>
          <w:sz w:val="24"/>
          <w:szCs w:val="24"/>
          <w:lang w:val="fr-CA"/>
        </w:rPr>
        <w:t>è</w:t>
      </w:r>
      <w:r>
        <w:rPr>
          <w:rFonts w:ascii="Arial Narrow" w:hAnsi="Arial Narrow"/>
          <w:sz w:val="24"/>
          <w:szCs w:val="24"/>
          <w:lang w:val="fr-CA"/>
        </w:rPr>
        <w:t xml:space="preserve">s </w:t>
      </w:r>
      <w:r>
        <w:rPr>
          <w:sz w:val="24"/>
          <w:szCs w:val="24"/>
          <w:lang w:val="fr-CA"/>
        </w:rPr>
        <w:t>à</w:t>
      </w:r>
      <w:r>
        <w:rPr>
          <w:rFonts w:ascii="Arial Narrow" w:hAnsi="Arial Narrow"/>
          <w:sz w:val="24"/>
          <w:szCs w:val="24"/>
          <w:lang w:val="fr-CA"/>
        </w:rPr>
        <w:t xml:space="preserve"> l</w:t>
      </w:r>
      <w:r>
        <w:rPr>
          <w:sz w:val="24"/>
          <w:szCs w:val="24"/>
          <w:lang w:val="fr-CA"/>
        </w:rPr>
        <w:t>’é</w:t>
      </w:r>
      <w:r>
        <w:rPr>
          <w:rFonts w:ascii="Arial Narrow" w:hAnsi="Arial Narrow"/>
          <w:sz w:val="24"/>
          <w:szCs w:val="24"/>
          <w:lang w:val="fr-CA"/>
        </w:rPr>
        <w:t>galit</w:t>
      </w:r>
      <w:r>
        <w:rPr>
          <w:sz w:val="24"/>
          <w:szCs w:val="24"/>
          <w:lang w:val="fr-CA"/>
        </w:rPr>
        <w:t>é</w:t>
      </w:r>
      <w:r>
        <w:rPr>
          <w:rFonts w:ascii="Arial Narrow" w:hAnsi="Arial Narrow"/>
          <w:sz w:val="24"/>
          <w:szCs w:val="24"/>
          <w:lang w:val="fr-CA"/>
        </w:rPr>
        <w:t xml:space="preserve">, </w:t>
      </w:r>
      <w:r>
        <w:rPr>
          <w:sz w:val="24"/>
          <w:szCs w:val="24"/>
          <w:lang w:val="fr-CA"/>
        </w:rPr>
        <w:t>à</w:t>
      </w:r>
      <w:r>
        <w:rPr>
          <w:rFonts w:ascii="Arial Narrow" w:hAnsi="Arial Narrow"/>
          <w:sz w:val="24"/>
          <w:szCs w:val="24"/>
          <w:lang w:val="fr-CA"/>
        </w:rPr>
        <w:t xml:space="preserve"> travers leurs repr</w:t>
      </w:r>
      <w:r>
        <w:rPr>
          <w:sz w:val="24"/>
          <w:szCs w:val="24"/>
          <w:lang w:val="fr-CA"/>
        </w:rPr>
        <w:t>é</w:t>
      </w:r>
      <w:r>
        <w:rPr>
          <w:rFonts w:ascii="Arial Narrow" w:hAnsi="Arial Narrow"/>
          <w:sz w:val="24"/>
          <w:szCs w:val="24"/>
          <w:lang w:val="fr-CA"/>
        </w:rPr>
        <w:t>sentations de leurs trajectoires professionnelles, de la discrimination rencontr</w:t>
      </w:r>
      <w:r>
        <w:rPr>
          <w:sz w:val="24"/>
          <w:szCs w:val="24"/>
          <w:lang w:val="fr-CA"/>
        </w:rPr>
        <w:t>é</w:t>
      </w:r>
      <w:r>
        <w:rPr>
          <w:rFonts w:ascii="Arial Narrow" w:hAnsi="Arial Narrow"/>
          <w:sz w:val="24"/>
          <w:szCs w:val="24"/>
          <w:lang w:val="fr-CA"/>
        </w:rPr>
        <w:t>e ou non et des strat</w:t>
      </w:r>
      <w:r>
        <w:rPr>
          <w:sz w:val="24"/>
          <w:szCs w:val="24"/>
          <w:lang w:val="fr-CA"/>
        </w:rPr>
        <w:t>é</w:t>
      </w:r>
      <w:r>
        <w:rPr>
          <w:rFonts w:ascii="Arial Narrow" w:hAnsi="Arial Narrow"/>
          <w:sz w:val="24"/>
          <w:szCs w:val="24"/>
          <w:lang w:val="fr-CA"/>
        </w:rPr>
        <w:t>gies qu</w:t>
      </w:r>
      <w:r>
        <w:rPr>
          <w:sz w:val="24"/>
          <w:szCs w:val="24"/>
          <w:lang w:val="fr-CA"/>
        </w:rPr>
        <w:t>’</w:t>
      </w:r>
      <w:r>
        <w:rPr>
          <w:rFonts w:ascii="Arial Narrow" w:hAnsi="Arial Narrow"/>
          <w:sz w:val="24"/>
          <w:szCs w:val="24"/>
          <w:lang w:val="fr-CA"/>
        </w:rPr>
        <w:t xml:space="preserve">elles ont mis en </w:t>
      </w:r>
      <w:r>
        <w:rPr>
          <w:sz w:val="24"/>
          <w:szCs w:val="24"/>
          <w:lang w:val="fr-CA"/>
        </w:rPr>
        <w:t>œ</w:t>
      </w:r>
      <w:r>
        <w:rPr>
          <w:rFonts w:ascii="Arial Narrow" w:hAnsi="Arial Narrow"/>
          <w:sz w:val="24"/>
          <w:szCs w:val="24"/>
          <w:lang w:val="fr-CA"/>
        </w:rPr>
        <w:t>uvre dans leur parcours professionnel. Qu</w:t>
      </w:r>
      <w:r>
        <w:rPr>
          <w:sz w:val="24"/>
          <w:szCs w:val="24"/>
          <w:lang w:val="fr-CA"/>
        </w:rPr>
        <w:t>’</w:t>
      </w:r>
      <w:r>
        <w:rPr>
          <w:rFonts w:ascii="Arial Narrow" w:hAnsi="Arial Narrow"/>
          <w:sz w:val="24"/>
          <w:szCs w:val="24"/>
          <w:lang w:val="fr-CA"/>
        </w:rPr>
        <w:t xml:space="preserve">est ce qui favorise leurs actions comme gestionnaires doublement minoritaires et  ce </w:t>
      </w:r>
      <w:r>
        <w:rPr>
          <w:sz w:val="24"/>
          <w:szCs w:val="24"/>
          <w:lang w:val="fr-CA"/>
        </w:rPr>
        <w:t>‘</w:t>
      </w:r>
      <w:r>
        <w:rPr>
          <w:rFonts w:ascii="Arial Narrow" w:hAnsi="Arial Narrow"/>
          <w:sz w:val="24"/>
          <w:szCs w:val="24"/>
          <w:lang w:val="fr-CA"/>
        </w:rPr>
        <w:t>double stigma</w:t>
      </w:r>
      <w:r>
        <w:rPr>
          <w:sz w:val="24"/>
          <w:szCs w:val="24"/>
          <w:lang w:val="fr-CA"/>
        </w:rPr>
        <w:t>’</w:t>
      </w:r>
      <w:r>
        <w:rPr>
          <w:rFonts w:ascii="Arial Narrow" w:hAnsi="Arial Narrow"/>
          <w:sz w:val="24"/>
          <w:szCs w:val="24"/>
          <w:lang w:val="fr-CA"/>
        </w:rPr>
        <w:t xml:space="preserve"> potentiel agit-il comme un obstacle ou comme d</w:t>
      </w:r>
      <w:r>
        <w:rPr>
          <w:sz w:val="24"/>
          <w:szCs w:val="24"/>
          <w:lang w:val="fr-CA"/>
        </w:rPr>
        <w:t>é</w:t>
      </w:r>
      <w:r>
        <w:rPr>
          <w:rFonts w:ascii="Arial Narrow" w:hAnsi="Arial Narrow"/>
          <w:sz w:val="24"/>
          <w:szCs w:val="24"/>
          <w:lang w:val="fr-CA"/>
        </w:rPr>
        <w:t>clencheur de comp</w:t>
      </w:r>
      <w:r>
        <w:rPr>
          <w:sz w:val="24"/>
          <w:szCs w:val="24"/>
          <w:lang w:val="fr-CA"/>
        </w:rPr>
        <w:t>é</w:t>
      </w:r>
      <w:r>
        <w:rPr>
          <w:rFonts w:ascii="Arial Narrow" w:hAnsi="Arial Narrow"/>
          <w:sz w:val="24"/>
          <w:szCs w:val="24"/>
          <w:lang w:val="fr-CA"/>
        </w:rPr>
        <w:t>tences sp</w:t>
      </w:r>
      <w:r>
        <w:rPr>
          <w:sz w:val="24"/>
          <w:szCs w:val="24"/>
          <w:lang w:val="fr-CA"/>
        </w:rPr>
        <w:t>é</w:t>
      </w:r>
      <w:r>
        <w:rPr>
          <w:rFonts w:ascii="Arial Narrow" w:hAnsi="Arial Narrow"/>
          <w:sz w:val="24"/>
          <w:szCs w:val="24"/>
          <w:lang w:val="fr-CA"/>
        </w:rPr>
        <w:t>cifiques d</w:t>
      </w:r>
      <w:r>
        <w:rPr>
          <w:sz w:val="24"/>
          <w:szCs w:val="24"/>
          <w:lang w:val="fr-CA"/>
        </w:rPr>
        <w:t>’</w:t>
      </w:r>
      <w:proofErr w:type="spellStart"/>
      <w:r>
        <w:rPr>
          <w:rFonts w:ascii="Arial Narrow" w:hAnsi="Arial Narrow"/>
          <w:i/>
          <w:iCs/>
          <w:sz w:val="24"/>
          <w:szCs w:val="24"/>
          <w:lang w:val="fr-CA"/>
        </w:rPr>
        <w:t>empowerment</w:t>
      </w:r>
      <w:proofErr w:type="spellEnd"/>
      <w:r>
        <w:rPr>
          <w:rFonts w:ascii="Arial Narrow" w:hAnsi="Arial Narrow"/>
          <w:sz w:val="24"/>
          <w:szCs w:val="24"/>
          <w:lang w:val="fr-CA"/>
        </w:rPr>
        <w:t xml:space="preserve"> dans leur int</w:t>
      </w:r>
      <w:r>
        <w:rPr>
          <w:sz w:val="24"/>
          <w:szCs w:val="24"/>
          <w:lang w:val="fr-CA"/>
        </w:rPr>
        <w:t>é</w:t>
      </w:r>
      <w:r>
        <w:rPr>
          <w:rFonts w:ascii="Arial Narrow" w:hAnsi="Arial Narrow"/>
          <w:sz w:val="24"/>
          <w:szCs w:val="24"/>
          <w:lang w:val="fr-CA"/>
        </w:rPr>
        <w:t>gration professionnelle au sein de l</w:t>
      </w:r>
      <w:r>
        <w:rPr>
          <w:sz w:val="24"/>
          <w:szCs w:val="24"/>
          <w:lang w:val="fr-CA"/>
        </w:rPr>
        <w:t>’é</w:t>
      </w:r>
      <w:r>
        <w:rPr>
          <w:rFonts w:ascii="Arial Narrow" w:hAnsi="Arial Narrow"/>
          <w:sz w:val="24"/>
          <w:szCs w:val="24"/>
          <w:lang w:val="fr-CA"/>
        </w:rPr>
        <w:t>lite? Les politiques de redressement de la repr</w:t>
      </w:r>
      <w:r>
        <w:rPr>
          <w:sz w:val="24"/>
          <w:szCs w:val="24"/>
          <w:lang w:val="fr-CA"/>
        </w:rPr>
        <w:t>é</w:t>
      </w:r>
      <w:r>
        <w:rPr>
          <w:rFonts w:ascii="Arial Narrow" w:hAnsi="Arial Narrow"/>
          <w:sz w:val="24"/>
          <w:szCs w:val="24"/>
          <w:lang w:val="fr-CA"/>
        </w:rPr>
        <w:t>sentativit</w:t>
      </w:r>
      <w:r>
        <w:rPr>
          <w:sz w:val="24"/>
          <w:szCs w:val="24"/>
          <w:lang w:val="fr-CA"/>
        </w:rPr>
        <w:t>é</w:t>
      </w:r>
      <w:r>
        <w:rPr>
          <w:rFonts w:ascii="Arial Narrow" w:hAnsi="Arial Narrow"/>
          <w:sz w:val="24"/>
          <w:szCs w:val="24"/>
          <w:lang w:val="fr-CA"/>
        </w:rPr>
        <w:t xml:space="preserve"> atteignent-elles leur objectif de reconnaissance professionnelle? Comment per</w:t>
      </w:r>
      <w:r>
        <w:rPr>
          <w:sz w:val="24"/>
          <w:szCs w:val="24"/>
          <w:lang w:val="fr-CA"/>
        </w:rPr>
        <w:t>ç</w:t>
      </w:r>
      <w:r>
        <w:rPr>
          <w:rFonts w:ascii="Arial Narrow" w:hAnsi="Arial Narrow"/>
          <w:sz w:val="24"/>
          <w:szCs w:val="24"/>
          <w:lang w:val="fr-CA"/>
        </w:rPr>
        <w:t>oivent-elles ces politiques et leur efficacit</w:t>
      </w:r>
      <w:r>
        <w:rPr>
          <w:sz w:val="24"/>
          <w:szCs w:val="24"/>
          <w:lang w:val="fr-CA"/>
        </w:rPr>
        <w:t>é</w:t>
      </w:r>
      <w:r>
        <w:rPr>
          <w:rFonts w:ascii="Arial Narrow" w:hAnsi="Arial Narrow"/>
          <w:sz w:val="24"/>
          <w:szCs w:val="24"/>
          <w:lang w:val="fr-CA"/>
        </w:rPr>
        <w:t xml:space="preserve"> sur leur propre trajectoire professionnelle? </w:t>
      </w:r>
      <w:r>
        <w:rPr>
          <w:lang w:val="fr-CA"/>
        </w:rPr>
        <w:t>C</w:t>
      </w:r>
      <w:r>
        <w:rPr>
          <w:rFonts w:ascii="Arial Narrow" w:hAnsi="Arial Narrow"/>
          <w:sz w:val="24"/>
          <w:szCs w:val="24"/>
          <w:lang w:val="fr-CA"/>
        </w:rPr>
        <w:t>es liens entre le genre et l</w:t>
      </w:r>
      <w:r>
        <w:rPr>
          <w:sz w:val="24"/>
          <w:szCs w:val="24"/>
          <w:lang w:val="fr-CA"/>
        </w:rPr>
        <w:t>’</w:t>
      </w:r>
      <w:r>
        <w:rPr>
          <w:rFonts w:ascii="Arial Narrow" w:hAnsi="Arial Narrow"/>
          <w:sz w:val="24"/>
          <w:szCs w:val="24"/>
          <w:lang w:val="fr-CA"/>
        </w:rPr>
        <w:t>emploi, les politiques publiques d</w:t>
      </w:r>
      <w:r>
        <w:rPr>
          <w:sz w:val="24"/>
          <w:szCs w:val="24"/>
          <w:lang w:val="fr-CA"/>
        </w:rPr>
        <w:t>’</w:t>
      </w:r>
      <w:r>
        <w:rPr>
          <w:rFonts w:ascii="Arial Narrow" w:hAnsi="Arial Narrow"/>
          <w:sz w:val="24"/>
          <w:szCs w:val="24"/>
          <w:lang w:val="fr-CA"/>
        </w:rPr>
        <w:t>immigration et les programmes d</w:t>
      </w:r>
      <w:r>
        <w:rPr>
          <w:sz w:val="24"/>
          <w:szCs w:val="24"/>
          <w:lang w:val="fr-CA"/>
        </w:rPr>
        <w:t>’</w:t>
      </w:r>
      <w:r>
        <w:rPr>
          <w:rFonts w:ascii="Arial Narrow" w:hAnsi="Arial Narrow"/>
          <w:sz w:val="24"/>
          <w:szCs w:val="24"/>
          <w:lang w:val="fr-CA"/>
        </w:rPr>
        <w:t>action positive, seront expos</w:t>
      </w:r>
      <w:r>
        <w:rPr>
          <w:sz w:val="24"/>
          <w:szCs w:val="24"/>
          <w:lang w:val="fr-CA"/>
        </w:rPr>
        <w:t>é</w:t>
      </w:r>
      <w:r>
        <w:rPr>
          <w:rFonts w:ascii="Arial Narrow" w:hAnsi="Arial Narrow"/>
          <w:sz w:val="24"/>
          <w:szCs w:val="24"/>
          <w:lang w:val="fr-CA"/>
        </w:rPr>
        <w:t>s avec vis</w:t>
      </w:r>
      <w:r>
        <w:rPr>
          <w:sz w:val="24"/>
          <w:szCs w:val="24"/>
          <w:lang w:val="fr-CA"/>
        </w:rPr>
        <w:t>é</w:t>
      </w:r>
      <w:r>
        <w:rPr>
          <w:rFonts w:ascii="Arial Narrow" w:hAnsi="Arial Narrow"/>
          <w:sz w:val="24"/>
          <w:szCs w:val="24"/>
          <w:lang w:val="fr-CA"/>
        </w:rPr>
        <w:t>e comparative des villes de Qu</w:t>
      </w:r>
      <w:r>
        <w:rPr>
          <w:sz w:val="24"/>
          <w:szCs w:val="24"/>
          <w:lang w:val="fr-CA"/>
        </w:rPr>
        <w:t>é</w:t>
      </w:r>
      <w:r>
        <w:rPr>
          <w:rFonts w:ascii="Arial Narrow" w:hAnsi="Arial Narrow"/>
          <w:sz w:val="24"/>
          <w:szCs w:val="24"/>
          <w:lang w:val="fr-CA"/>
        </w:rPr>
        <w:t>bec et d</w:t>
      </w:r>
      <w:r>
        <w:rPr>
          <w:sz w:val="24"/>
          <w:szCs w:val="24"/>
          <w:lang w:val="fr-CA"/>
        </w:rPr>
        <w:t>’</w:t>
      </w:r>
      <w:r>
        <w:rPr>
          <w:rFonts w:ascii="Arial Narrow" w:hAnsi="Arial Narrow"/>
          <w:sz w:val="24"/>
          <w:szCs w:val="24"/>
          <w:lang w:val="fr-CA"/>
        </w:rPr>
        <w:t xml:space="preserve">Halifax, </w:t>
      </w:r>
      <w:r>
        <w:rPr>
          <w:sz w:val="24"/>
          <w:szCs w:val="24"/>
          <w:lang w:val="fr-CA"/>
        </w:rPr>
        <w:t>à</w:t>
      </w:r>
      <w:r>
        <w:rPr>
          <w:rFonts w:ascii="Arial Narrow" w:hAnsi="Arial Narrow"/>
          <w:sz w:val="24"/>
          <w:szCs w:val="24"/>
          <w:lang w:val="fr-CA"/>
        </w:rPr>
        <w:t xml:space="preserve"> partir du discours sur leur exp</w:t>
      </w:r>
      <w:r>
        <w:rPr>
          <w:sz w:val="24"/>
          <w:szCs w:val="24"/>
          <w:lang w:val="fr-CA"/>
        </w:rPr>
        <w:t>é</w:t>
      </w:r>
      <w:r>
        <w:rPr>
          <w:rFonts w:ascii="Arial Narrow" w:hAnsi="Arial Narrow"/>
          <w:sz w:val="24"/>
          <w:szCs w:val="24"/>
          <w:lang w:val="fr-CA"/>
        </w:rPr>
        <w:t>rience professionnelle de femmes immigrantes.</w:t>
      </w:r>
    </w:p>
    <w:p w:rsidR="00496072" w:rsidRDefault="00496072" w:rsidP="00496072">
      <w:pPr>
        <w:spacing w:before="100" w:beforeAutospacing="1" w:after="100" w:afterAutospacing="1"/>
        <w:rPr>
          <w:rFonts w:ascii="Gill Sans MT" w:hAnsi="Gill Sans MT"/>
          <w:color w:val="000080"/>
          <w:sz w:val="20"/>
          <w:szCs w:val="20"/>
          <w:lang w:val="fr-CA"/>
        </w:rPr>
      </w:pPr>
      <w:r>
        <w:rPr>
          <w:rFonts w:ascii="Gill Sans MT" w:hAnsi="Gill Sans MT"/>
          <w:b/>
          <w:bCs/>
          <w:color w:val="000080"/>
          <w:sz w:val="24"/>
          <w:szCs w:val="24"/>
          <w:lang w:val="fr-CA"/>
        </w:rPr>
        <w:t>Hélène Cardu</w:t>
      </w:r>
      <w:r>
        <w:rPr>
          <w:rFonts w:ascii="Gill Sans MT" w:hAnsi="Gill Sans MT"/>
          <w:color w:val="000080"/>
          <w:sz w:val="20"/>
          <w:szCs w:val="20"/>
          <w:lang w:val="fr-CA"/>
        </w:rPr>
        <w:br/>
        <w:t>Professeure titulaire</w:t>
      </w:r>
    </w:p>
    <w:p w:rsidR="00496072" w:rsidRDefault="00496072" w:rsidP="00496072">
      <w:pPr>
        <w:rPr>
          <w:rFonts w:ascii="Gill Sans MT" w:hAnsi="Gill Sans MT"/>
          <w:color w:val="000080"/>
          <w:sz w:val="20"/>
          <w:szCs w:val="20"/>
          <w:lang w:val="fr-CA"/>
        </w:rPr>
      </w:pPr>
      <w:r>
        <w:rPr>
          <w:rFonts w:ascii="Gill Sans MT" w:hAnsi="Gill Sans MT"/>
          <w:color w:val="000080"/>
          <w:sz w:val="20"/>
          <w:szCs w:val="20"/>
          <w:lang w:val="fr-CA"/>
        </w:rPr>
        <w:t xml:space="preserve">Centre de recherche et d'intervention sur l'éducation et la vie au travail (CRIEVAT) </w:t>
      </w:r>
      <w:r>
        <w:rPr>
          <w:rFonts w:ascii="Gill Sans MT" w:hAnsi="Gill Sans MT"/>
          <w:color w:val="000080"/>
          <w:sz w:val="20"/>
          <w:szCs w:val="20"/>
          <w:lang w:val="fr-CA"/>
        </w:rPr>
        <w:br/>
        <w:t>Université Laval</w:t>
      </w:r>
    </w:p>
    <w:p w:rsidR="00496072" w:rsidRDefault="00496072" w:rsidP="00496072">
      <w:pPr>
        <w:jc w:val="both"/>
        <w:rPr>
          <w:rFonts w:ascii="Arial Narrow" w:hAnsi="Arial Narrow"/>
          <w:b/>
          <w:bCs/>
          <w:sz w:val="28"/>
          <w:szCs w:val="28"/>
          <w:lang w:val="fr-CA"/>
        </w:rPr>
      </w:pPr>
      <w:r>
        <w:rPr>
          <w:rFonts w:ascii="Arial Narrow" w:hAnsi="Arial Narrow"/>
          <w:b/>
          <w:bCs/>
          <w:sz w:val="28"/>
          <w:szCs w:val="28"/>
          <w:lang w:val="fr-CA"/>
        </w:rPr>
        <w:t xml:space="preserve">Thursday, 5:30-7:30,  2 </w:t>
      </w:r>
      <w:proofErr w:type="spellStart"/>
      <w:r>
        <w:rPr>
          <w:rFonts w:ascii="Arial Narrow" w:hAnsi="Arial Narrow"/>
          <w:b/>
          <w:bCs/>
          <w:sz w:val="28"/>
          <w:szCs w:val="28"/>
          <w:lang w:val="fr-CA"/>
        </w:rPr>
        <w:t>February</w:t>
      </w:r>
      <w:proofErr w:type="spellEnd"/>
      <w:r>
        <w:rPr>
          <w:rFonts w:ascii="Arial Narrow" w:hAnsi="Arial Narrow"/>
          <w:b/>
          <w:bCs/>
          <w:sz w:val="28"/>
          <w:szCs w:val="28"/>
          <w:lang w:val="fr-CA"/>
        </w:rPr>
        <w:t xml:space="preserve"> 2012</w:t>
      </w:r>
    </w:p>
    <w:p w:rsidR="00496072" w:rsidRDefault="00496072" w:rsidP="00496072">
      <w:pPr>
        <w:jc w:val="both"/>
        <w:rPr>
          <w:rFonts w:ascii="Arial Narrow" w:hAnsi="Arial Narrow"/>
          <w:b/>
          <w:bCs/>
          <w:sz w:val="28"/>
          <w:szCs w:val="28"/>
          <w:lang w:val="en-US"/>
        </w:rPr>
      </w:pPr>
      <w:r>
        <w:rPr>
          <w:rFonts w:ascii="Arial Narrow" w:hAnsi="Arial Narrow"/>
          <w:b/>
          <w:bCs/>
          <w:sz w:val="28"/>
          <w:szCs w:val="28"/>
        </w:rPr>
        <w:t>1016 Rowe Building, Dalhousie University</w:t>
      </w:r>
    </w:p>
    <w:p w:rsidR="00496072" w:rsidRDefault="00496072" w:rsidP="00496072">
      <w:pPr>
        <w:jc w:val="both"/>
        <w:rPr>
          <w:rFonts w:ascii="Arial Narrow" w:hAnsi="Arial Narrow"/>
          <w:b/>
          <w:bCs/>
          <w:sz w:val="28"/>
          <w:szCs w:val="28"/>
        </w:rPr>
      </w:pPr>
    </w:p>
    <w:p w:rsidR="00496072" w:rsidRPr="00496072" w:rsidRDefault="00496072" w:rsidP="00496072">
      <w:pPr>
        <w:jc w:val="both"/>
        <w:rPr>
          <w:rFonts w:ascii="Arial Narrow" w:hAnsi="Arial Narrow"/>
          <w:b/>
          <w:bCs/>
          <w:i/>
          <w:iCs/>
          <w:sz w:val="28"/>
          <w:szCs w:val="28"/>
        </w:rPr>
      </w:pPr>
      <w:r>
        <w:rPr>
          <w:rFonts w:ascii="Arial Narrow" w:hAnsi="Arial Narrow"/>
          <w:b/>
          <w:bCs/>
          <w:i/>
          <w:iCs/>
          <w:sz w:val="28"/>
          <w:szCs w:val="28"/>
        </w:rPr>
        <w:t>All Are Welcome</w:t>
      </w:r>
    </w:p>
    <w:p w:rsidR="00496072" w:rsidRDefault="00496072" w:rsidP="00496072">
      <w:pPr>
        <w:rPr>
          <w:color w:val="1F497D"/>
        </w:rPr>
      </w:pPr>
    </w:p>
    <w:p w:rsidR="00496072" w:rsidRDefault="00496072" w:rsidP="00496072">
      <w:pPr>
        <w:spacing w:after="0" w:line="240" w:lineRule="auto"/>
        <w:rPr>
          <w:rFonts w:ascii="Arial Rounded MT Bold" w:hAnsi="Arial Rounded MT Bold"/>
          <w:color w:val="1F497D"/>
          <w:sz w:val="20"/>
          <w:szCs w:val="20"/>
        </w:rPr>
      </w:pPr>
      <w:r>
        <w:rPr>
          <w:rFonts w:ascii="Arial Rounded MT Bold" w:hAnsi="Arial Rounded MT Bold"/>
          <w:color w:val="1F497D"/>
          <w:sz w:val="20"/>
          <w:szCs w:val="20"/>
        </w:rPr>
        <w:t>                       </w:t>
      </w:r>
    </w:p>
    <w:p w:rsidR="003E285D" w:rsidRPr="00DB0E1A" w:rsidRDefault="003E285D" w:rsidP="00496072">
      <w:pPr>
        <w:spacing w:line="240" w:lineRule="auto"/>
        <w:jc w:val="center"/>
        <w:rPr>
          <w:rFonts w:ascii="Tahoma" w:hAnsi="Tahoma" w:cs="Tahoma"/>
          <w:sz w:val="28"/>
          <w:szCs w:val="28"/>
          <w:lang w:val="en-US"/>
        </w:rPr>
      </w:pPr>
    </w:p>
    <w:sectPr w:rsidR="003E285D" w:rsidRPr="00DB0E1A" w:rsidSect="00431CA3">
      <w:pgSz w:w="11906" w:h="16838"/>
      <w:pgMar w:top="990" w:right="1440" w:bottom="90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585E"/>
    <w:rsid w:val="000328CE"/>
    <w:rsid w:val="00077EB3"/>
    <w:rsid w:val="000D2A82"/>
    <w:rsid w:val="0018585E"/>
    <w:rsid w:val="002756F6"/>
    <w:rsid w:val="00282A82"/>
    <w:rsid w:val="002A640A"/>
    <w:rsid w:val="002D5854"/>
    <w:rsid w:val="002E6A37"/>
    <w:rsid w:val="003423A0"/>
    <w:rsid w:val="00357FFC"/>
    <w:rsid w:val="00367278"/>
    <w:rsid w:val="003B1219"/>
    <w:rsid w:val="003D2679"/>
    <w:rsid w:val="003E285D"/>
    <w:rsid w:val="00431CA3"/>
    <w:rsid w:val="00436924"/>
    <w:rsid w:val="00436E30"/>
    <w:rsid w:val="004879F7"/>
    <w:rsid w:val="00496072"/>
    <w:rsid w:val="004F0B8F"/>
    <w:rsid w:val="005355A5"/>
    <w:rsid w:val="00544081"/>
    <w:rsid w:val="005947E8"/>
    <w:rsid w:val="00595466"/>
    <w:rsid w:val="005A028F"/>
    <w:rsid w:val="005A0895"/>
    <w:rsid w:val="005D06D6"/>
    <w:rsid w:val="00631EB4"/>
    <w:rsid w:val="006571AB"/>
    <w:rsid w:val="006E0BA9"/>
    <w:rsid w:val="007B3660"/>
    <w:rsid w:val="0084211D"/>
    <w:rsid w:val="008462D4"/>
    <w:rsid w:val="00894BC1"/>
    <w:rsid w:val="008A753D"/>
    <w:rsid w:val="008B56D1"/>
    <w:rsid w:val="00926177"/>
    <w:rsid w:val="00935647"/>
    <w:rsid w:val="00997030"/>
    <w:rsid w:val="009F53B2"/>
    <w:rsid w:val="009F5651"/>
    <w:rsid w:val="009F6E0C"/>
    <w:rsid w:val="00A2331B"/>
    <w:rsid w:val="00A93C00"/>
    <w:rsid w:val="00A93C79"/>
    <w:rsid w:val="00AC312D"/>
    <w:rsid w:val="00B006C8"/>
    <w:rsid w:val="00B234ED"/>
    <w:rsid w:val="00B46C70"/>
    <w:rsid w:val="00BA7057"/>
    <w:rsid w:val="00BD03D9"/>
    <w:rsid w:val="00BD3119"/>
    <w:rsid w:val="00BE7802"/>
    <w:rsid w:val="00C91074"/>
    <w:rsid w:val="00CC461D"/>
    <w:rsid w:val="00CC5EBD"/>
    <w:rsid w:val="00D57778"/>
    <w:rsid w:val="00D6491C"/>
    <w:rsid w:val="00DB0E1A"/>
    <w:rsid w:val="00DD47A5"/>
    <w:rsid w:val="00DE5DE7"/>
    <w:rsid w:val="00DF6E33"/>
    <w:rsid w:val="00E255A9"/>
    <w:rsid w:val="00E26626"/>
    <w:rsid w:val="00F114ED"/>
    <w:rsid w:val="00F17C5A"/>
    <w:rsid w:val="00F93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:contacts"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6C8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6571AB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57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71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31CA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52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2179</Characters>
  <Application>Microsoft Office Word</Application>
  <DocSecurity>0</DocSecurity>
  <Lines>18</Lines>
  <Paragraphs>5</Paragraphs>
  <ScaleCrop>false</ScaleCrop>
  <Company>MRT www.Win2Farsi.com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Shiva</dc:creator>
  <cp:keywords/>
  <dc:description/>
  <cp:lastModifiedBy>s5027632</cp:lastModifiedBy>
  <cp:revision>2</cp:revision>
  <cp:lastPrinted>2011-04-05T16:23:00Z</cp:lastPrinted>
  <dcterms:created xsi:type="dcterms:W3CDTF">2012-02-08T19:49:00Z</dcterms:created>
  <dcterms:modified xsi:type="dcterms:W3CDTF">2012-02-08T19:49:00Z</dcterms:modified>
</cp:coreProperties>
</file>